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BDFB3" w14:textId="653B7538" w:rsidR="00DD13E6" w:rsidRPr="00DD13E6" w:rsidRDefault="00DD13E6" w:rsidP="00336D93">
      <w:pPr>
        <w:jc w:val="both"/>
        <w:rPr>
          <w:b/>
          <w:bCs/>
          <w:sz w:val="24"/>
          <w:szCs w:val="24"/>
        </w:rPr>
      </w:pPr>
    </w:p>
    <w:p w14:paraId="67C6501E" w14:textId="350CC58D" w:rsidR="00DD13E6" w:rsidRDefault="00DD13E6" w:rsidP="00336D93">
      <w:pPr>
        <w:jc w:val="both"/>
        <w:rPr>
          <w:sz w:val="24"/>
          <w:szCs w:val="24"/>
        </w:rPr>
      </w:pPr>
      <w:r w:rsidRPr="00DD13E6">
        <w:rPr>
          <w:sz w:val="24"/>
          <w:szCs w:val="24"/>
        </w:rPr>
        <w:t xml:space="preserve">The International Accounting Standards Board (IASB) issued Exposure Draft (ED/2026/1) in February 2026, proposing targeted amendments to IAS 28 </w:t>
      </w:r>
      <w:r w:rsidRPr="00DD13E6">
        <w:rPr>
          <w:i/>
          <w:iCs/>
          <w:sz w:val="24"/>
          <w:szCs w:val="24"/>
        </w:rPr>
        <w:t>Investments in Associates and Joint Ventures</w:t>
      </w:r>
      <w:r w:rsidRPr="00DD13E6">
        <w:rPr>
          <w:sz w:val="24"/>
          <w:szCs w:val="24"/>
        </w:rPr>
        <w:t xml:space="preserve">. The primary motivation behind this project is the upcoming implementation of IFRS 18 </w:t>
      </w:r>
      <w:r w:rsidRPr="00DD13E6">
        <w:rPr>
          <w:i/>
          <w:iCs/>
          <w:sz w:val="24"/>
          <w:szCs w:val="24"/>
        </w:rPr>
        <w:t>Presentation and Disclosure in Financial Statements</w:t>
      </w:r>
      <w:r w:rsidRPr="00DD13E6">
        <w:rPr>
          <w:sz w:val="24"/>
          <w:szCs w:val="24"/>
        </w:rPr>
        <w:t>, which changes how income and expenses from investments are classified in the statement of profit or loss. Stakeholders, particularly within the insurance industry, identified a lack of clarity regarding which entities are eligible to use the fair value option in IAS 28. This lack of clarity, combined with the new classification requirements of IFRS 18, created an urgent need for the IASB to refine the scope of these exemptions to ensure consistent application before the 2027 effective date.</w:t>
      </w:r>
    </w:p>
    <w:p w14:paraId="126E847C" w14:textId="77777777" w:rsidR="00336D93" w:rsidRPr="00DD13E6" w:rsidRDefault="00336D93" w:rsidP="00336D93">
      <w:pPr>
        <w:jc w:val="both"/>
        <w:rPr>
          <w:sz w:val="24"/>
          <w:szCs w:val="24"/>
        </w:rPr>
      </w:pPr>
    </w:p>
    <w:p w14:paraId="3DFC70FB" w14:textId="77777777" w:rsidR="00DD13E6" w:rsidRPr="00DD13E6" w:rsidRDefault="00DD13E6" w:rsidP="00336D93">
      <w:pPr>
        <w:jc w:val="both"/>
        <w:rPr>
          <w:b/>
          <w:bCs/>
          <w:sz w:val="24"/>
          <w:szCs w:val="24"/>
        </w:rPr>
      </w:pPr>
      <w:r w:rsidRPr="00DD13E6">
        <w:rPr>
          <w:b/>
          <w:bCs/>
          <w:sz w:val="24"/>
          <w:szCs w:val="24"/>
        </w:rPr>
        <w:t>Issues and Suggestions regarding IAS 28 Amendments</w:t>
      </w:r>
    </w:p>
    <w:p w14:paraId="18871E1C" w14:textId="77777777" w:rsidR="00DD13E6" w:rsidRPr="00DD13E6" w:rsidRDefault="00DD13E6" w:rsidP="00336D93">
      <w:pPr>
        <w:jc w:val="both"/>
        <w:rPr>
          <w:b/>
          <w:bCs/>
          <w:sz w:val="24"/>
          <w:szCs w:val="24"/>
        </w:rPr>
      </w:pPr>
      <w:r w:rsidRPr="00DD13E6">
        <w:rPr>
          <w:b/>
          <w:bCs/>
          <w:sz w:val="24"/>
          <w:szCs w:val="24"/>
        </w:rPr>
        <w:t>1. Scope and Eligibility</w:t>
      </w:r>
    </w:p>
    <w:p w14:paraId="129AD23F" w14:textId="77777777" w:rsidR="00DD13E6" w:rsidRPr="00DD13E6" w:rsidRDefault="00DD13E6" w:rsidP="00336D93">
      <w:pPr>
        <w:numPr>
          <w:ilvl w:val="0"/>
          <w:numId w:val="1"/>
        </w:numPr>
        <w:jc w:val="both"/>
        <w:rPr>
          <w:sz w:val="24"/>
          <w:szCs w:val="24"/>
        </w:rPr>
      </w:pPr>
      <w:r w:rsidRPr="00DD13E6">
        <w:rPr>
          <w:b/>
          <w:bCs/>
          <w:sz w:val="24"/>
          <w:szCs w:val="24"/>
        </w:rPr>
        <w:t>Issue:</w:t>
      </w:r>
      <w:r w:rsidRPr="00DD13E6">
        <w:rPr>
          <w:sz w:val="24"/>
          <w:szCs w:val="24"/>
        </w:rPr>
        <w:t xml:space="preserve"> The term "similar entities" in paragraph 18 of IAS 28 is undefined, leading to diversity in whether insurers can use the fair value option.</w:t>
      </w:r>
    </w:p>
    <w:p w14:paraId="58806598" w14:textId="77777777" w:rsidR="00DD13E6" w:rsidRPr="00DD13E6" w:rsidRDefault="00DD13E6" w:rsidP="00336D93">
      <w:pPr>
        <w:numPr>
          <w:ilvl w:val="0"/>
          <w:numId w:val="1"/>
        </w:numPr>
        <w:jc w:val="both"/>
        <w:rPr>
          <w:sz w:val="24"/>
          <w:szCs w:val="24"/>
        </w:rPr>
      </w:pPr>
      <w:r w:rsidRPr="00DD13E6">
        <w:rPr>
          <w:b/>
          <w:bCs/>
          <w:sz w:val="24"/>
          <w:szCs w:val="24"/>
        </w:rPr>
        <w:t>Suggestion:</w:t>
      </w:r>
      <w:r w:rsidRPr="00DD13E6">
        <w:rPr>
          <w:sz w:val="24"/>
          <w:szCs w:val="24"/>
        </w:rPr>
        <w:t xml:space="preserve"> Clarify that "similar entities" include those with a main business activity of investing in particular types of assets.</w:t>
      </w:r>
    </w:p>
    <w:p w14:paraId="50C66696" w14:textId="77777777" w:rsidR="00DD13E6" w:rsidRPr="00DD13E6" w:rsidRDefault="00DD13E6" w:rsidP="00336D93">
      <w:pPr>
        <w:jc w:val="both"/>
        <w:rPr>
          <w:b/>
          <w:bCs/>
          <w:sz w:val="24"/>
          <w:szCs w:val="24"/>
        </w:rPr>
      </w:pPr>
      <w:r w:rsidRPr="00DD13E6">
        <w:rPr>
          <w:b/>
          <w:bCs/>
          <w:sz w:val="24"/>
          <w:szCs w:val="24"/>
        </w:rPr>
        <w:t>2. Classification in the Statement of Profit or Loss</w:t>
      </w:r>
    </w:p>
    <w:p w14:paraId="665A77AF" w14:textId="77777777" w:rsidR="00DD13E6" w:rsidRPr="00DD13E6" w:rsidRDefault="00DD13E6" w:rsidP="00336D93">
      <w:pPr>
        <w:numPr>
          <w:ilvl w:val="0"/>
          <w:numId w:val="2"/>
        </w:numPr>
        <w:jc w:val="both"/>
        <w:rPr>
          <w:sz w:val="24"/>
          <w:szCs w:val="24"/>
        </w:rPr>
      </w:pPr>
      <w:r w:rsidRPr="00DD13E6">
        <w:rPr>
          <w:b/>
          <w:bCs/>
          <w:sz w:val="24"/>
          <w:szCs w:val="24"/>
        </w:rPr>
        <w:t>Issue:</w:t>
      </w:r>
      <w:r w:rsidRPr="00DD13E6">
        <w:rPr>
          <w:sz w:val="24"/>
          <w:szCs w:val="24"/>
        </w:rPr>
        <w:t xml:space="preserve"> IFRS 18 requires equity-method income to be in the "investing" category, which doesn't reflect the "operating" nature of some insurers' investments.</w:t>
      </w:r>
    </w:p>
    <w:p w14:paraId="37AE63B2" w14:textId="77777777" w:rsidR="00DD13E6" w:rsidRPr="00DD13E6" w:rsidRDefault="00DD13E6" w:rsidP="00336D93">
      <w:pPr>
        <w:numPr>
          <w:ilvl w:val="0"/>
          <w:numId w:val="2"/>
        </w:numPr>
        <w:jc w:val="both"/>
        <w:rPr>
          <w:sz w:val="24"/>
          <w:szCs w:val="24"/>
        </w:rPr>
      </w:pPr>
      <w:r w:rsidRPr="00DD13E6">
        <w:rPr>
          <w:b/>
          <w:bCs/>
          <w:sz w:val="24"/>
          <w:szCs w:val="24"/>
        </w:rPr>
        <w:t>Suggestion:</w:t>
      </w:r>
      <w:r w:rsidRPr="00DD13E6">
        <w:rPr>
          <w:sz w:val="24"/>
          <w:szCs w:val="24"/>
        </w:rPr>
        <w:t xml:space="preserve"> Align eligibility so income from fair-valued investments can be classified in the operating category under IFRS 18.</w:t>
      </w:r>
    </w:p>
    <w:p w14:paraId="38336574" w14:textId="77777777" w:rsidR="00DD13E6" w:rsidRPr="00DD13E6" w:rsidRDefault="00DD13E6" w:rsidP="00336D93">
      <w:pPr>
        <w:jc w:val="both"/>
        <w:rPr>
          <w:b/>
          <w:bCs/>
          <w:sz w:val="24"/>
          <w:szCs w:val="24"/>
        </w:rPr>
      </w:pPr>
      <w:r w:rsidRPr="00DD13E6">
        <w:rPr>
          <w:b/>
          <w:bCs/>
          <w:sz w:val="24"/>
          <w:szCs w:val="24"/>
        </w:rPr>
        <w:t>3. Reporting Bias and Principle-Based Standards</w:t>
      </w:r>
    </w:p>
    <w:p w14:paraId="26C7D90D" w14:textId="77777777" w:rsidR="00DD13E6" w:rsidRPr="00DD13E6" w:rsidRDefault="00DD13E6" w:rsidP="00336D93">
      <w:pPr>
        <w:numPr>
          <w:ilvl w:val="0"/>
          <w:numId w:val="3"/>
        </w:numPr>
        <w:jc w:val="both"/>
        <w:rPr>
          <w:sz w:val="24"/>
          <w:szCs w:val="24"/>
        </w:rPr>
      </w:pPr>
      <w:r w:rsidRPr="00DD13E6">
        <w:rPr>
          <w:b/>
          <w:bCs/>
          <w:sz w:val="24"/>
          <w:szCs w:val="24"/>
        </w:rPr>
        <w:t>Issue:</w:t>
      </w:r>
      <w:r w:rsidRPr="00DD13E6">
        <w:rPr>
          <w:sz w:val="24"/>
          <w:szCs w:val="24"/>
        </w:rPr>
        <w:t xml:space="preserve"> Restricting the fair value option only to specific entity types creates a financial reporting bias.</w:t>
      </w:r>
    </w:p>
    <w:p w14:paraId="5BDE8D41" w14:textId="77777777" w:rsidR="00DD13E6" w:rsidRPr="00DD13E6" w:rsidRDefault="00DD13E6" w:rsidP="00336D93">
      <w:pPr>
        <w:numPr>
          <w:ilvl w:val="0"/>
          <w:numId w:val="3"/>
        </w:numPr>
        <w:jc w:val="both"/>
        <w:rPr>
          <w:sz w:val="24"/>
          <w:szCs w:val="24"/>
        </w:rPr>
      </w:pPr>
      <w:r w:rsidRPr="00DD13E6">
        <w:rPr>
          <w:b/>
          <w:bCs/>
          <w:sz w:val="24"/>
          <w:szCs w:val="24"/>
        </w:rPr>
        <w:t>Suggestion:</w:t>
      </w:r>
      <w:r w:rsidRPr="00DD13E6">
        <w:rPr>
          <w:sz w:val="24"/>
          <w:szCs w:val="24"/>
        </w:rPr>
        <w:t xml:space="preserve"> Three IASB members suggested an unrestricted fair value option for all entities to ensure a more principle-based approach.</w:t>
      </w:r>
    </w:p>
    <w:p w14:paraId="03DDE609" w14:textId="77777777" w:rsidR="00DD13E6" w:rsidRPr="00DD13E6" w:rsidRDefault="00DD13E6" w:rsidP="00336D93">
      <w:pPr>
        <w:jc w:val="both"/>
        <w:rPr>
          <w:b/>
          <w:bCs/>
          <w:sz w:val="24"/>
          <w:szCs w:val="24"/>
        </w:rPr>
      </w:pPr>
      <w:r w:rsidRPr="00DD13E6">
        <w:rPr>
          <w:b/>
          <w:bCs/>
          <w:sz w:val="24"/>
          <w:szCs w:val="24"/>
        </w:rPr>
        <w:t>4. Implementation Timeline and Urgency</w:t>
      </w:r>
    </w:p>
    <w:p w14:paraId="72CE9E90" w14:textId="77777777" w:rsidR="00DD13E6" w:rsidRPr="00DD13E6" w:rsidRDefault="00DD13E6" w:rsidP="00336D93">
      <w:pPr>
        <w:numPr>
          <w:ilvl w:val="0"/>
          <w:numId w:val="4"/>
        </w:numPr>
        <w:jc w:val="both"/>
        <w:rPr>
          <w:sz w:val="24"/>
          <w:szCs w:val="24"/>
        </w:rPr>
      </w:pPr>
      <w:r w:rsidRPr="00DD13E6">
        <w:rPr>
          <w:b/>
          <w:bCs/>
          <w:sz w:val="24"/>
          <w:szCs w:val="24"/>
        </w:rPr>
        <w:t>Issue:</w:t>
      </w:r>
      <w:r w:rsidRPr="00DD13E6">
        <w:rPr>
          <w:sz w:val="24"/>
          <w:szCs w:val="24"/>
        </w:rPr>
        <w:t xml:space="preserve"> Amendments must be finalized quickly to allow for jurisdictional endorsement before IFRS 18 takes effect in 2027.</w:t>
      </w:r>
    </w:p>
    <w:p w14:paraId="7BA5FC76" w14:textId="77777777" w:rsidR="00DD13E6" w:rsidRPr="00DD13E6" w:rsidRDefault="00DD13E6" w:rsidP="00336D93">
      <w:pPr>
        <w:numPr>
          <w:ilvl w:val="0"/>
          <w:numId w:val="4"/>
        </w:numPr>
        <w:jc w:val="both"/>
        <w:rPr>
          <w:sz w:val="24"/>
          <w:szCs w:val="24"/>
        </w:rPr>
      </w:pPr>
      <w:r w:rsidRPr="00DD13E6">
        <w:rPr>
          <w:b/>
          <w:bCs/>
          <w:sz w:val="24"/>
          <w:szCs w:val="24"/>
        </w:rPr>
        <w:t>Suggestion:</w:t>
      </w:r>
      <w:r w:rsidRPr="00DD13E6">
        <w:rPr>
          <w:sz w:val="24"/>
          <w:szCs w:val="24"/>
        </w:rPr>
        <w:t xml:space="preserve"> The IASB plans to complete the standard-setting process by mid-2026 to provide timely clarity.</w:t>
      </w:r>
    </w:p>
    <w:p w14:paraId="29D32857" w14:textId="77777777" w:rsidR="00DD13E6" w:rsidRPr="00DD13E6" w:rsidRDefault="00DD13E6" w:rsidP="00336D93">
      <w:pPr>
        <w:jc w:val="both"/>
        <w:rPr>
          <w:b/>
          <w:bCs/>
          <w:sz w:val="24"/>
          <w:szCs w:val="24"/>
        </w:rPr>
      </w:pPr>
      <w:r w:rsidRPr="00DD13E6">
        <w:rPr>
          <w:b/>
          <w:bCs/>
          <w:sz w:val="24"/>
          <w:szCs w:val="24"/>
        </w:rPr>
        <w:t>5. Consistency of Election (Irrevocability)</w:t>
      </w:r>
    </w:p>
    <w:p w14:paraId="24BF539F" w14:textId="77777777" w:rsidR="00DD13E6" w:rsidRPr="00DD13E6" w:rsidRDefault="00DD13E6" w:rsidP="00336D93">
      <w:pPr>
        <w:numPr>
          <w:ilvl w:val="0"/>
          <w:numId w:val="5"/>
        </w:numPr>
        <w:jc w:val="both"/>
        <w:rPr>
          <w:sz w:val="24"/>
          <w:szCs w:val="24"/>
        </w:rPr>
      </w:pPr>
      <w:r w:rsidRPr="00DD13E6">
        <w:rPr>
          <w:b/>
          <w:bCs/>
          <w:sz w:val="24"/>
          <w:szCs w:val="24"/>
        </w:rPr>
        <w:t>Issue:</w:t>
      </w:r>
      <w:r w:rsidRPr="00DD13E6">
        <w:rPr>
          <w:sz w:val="24"/>
          <w:szCs w:val="24"/>
        </w:rPr>
        <w:t xml:space="preserve"> The fair value election is currently irrevocable, which may not reflect changes in how investments back insurance liabilities.</w:t>
      </w:r>
    </w:p>
    <w:p w14:paraId="5AF7AF36" w14:textId="77777777" w:rsidR="00DD13E6" w:rsidRPr="00DD13E6" w:rsidRDefault="00DD13E6" w:rsidP="00336D93">
      <w:pPr>
        <w:numPr>
          <w:ilvl w:val="0"/>
          <w:numId w:val="5"/>
        </w:numPr>
        <w:jc w:val="both"/>
        <w:rPr>
          <w:sz w:val="24"/>
          <w:szCs w:val="24"/>
        </w:rPr>
      </w:pPr>
      <w:r w:rsidRPr="00DD13E6">
        <w:rPr>
          <w:b/>
          <w:bCs/>
          <w:sz w:val="24"/>
          <w:szCs w:val="24"/>
        </w:rPr>
        <w:lastRenderedPageBreak/>
        <w:t>Suggestion:</w:t>
      </w:r>
      <w:r w:rsidRPr="00DD13E6">
        <w:rPr>
          <w:sz w:val="24"/>
          <w:szCs w:val="24"/>
        </w:rPr>
        <w:t xml:space="preserve"> The IASB suggests maintaining the irrevocable nature to stay consistent with IFRS 9.</w:t>
      </w:r>
    </w:p>
    <w:p w14:paraId="6B098A26" w14:textId="77777777" w:rsidR="00DD13E6" w:rsidRPr="00DD13E6" w:rsidRDefault="00DD13E6" w:rsidP="00336D93">
      <w:pPr>
        <w:jc w:val="both"/>
        <w:rPr>
          <w:b/>
          <w:bCs/>
          <w:sz w:val="24"/>
          <w:szCs w:val="24"/>
        </w:rPr>
      </w:pPr>
      <w:r w:rsidRPr="00DD13E6">
        <w:rPr>
          <w:b/>
          <w:bCs/>
          <w:sz w:val="24"/>
          <w:szCs w:val="24"/>
        </w:rPr>
        <w:t>6. Complexity of Requirements</w:t>
      </w:r>
    </w:p>
    <w:p w14:paraId="6805C458" w14:textId="77777777" w:rsidR="00DD13E6" w:rsidRPr="00DD13E6" w:rsidRDefault="00DD13E6" w:rsidP="00336D93">
      <w:pPr>
        <w:numPr>
          <w:ilvl w:val="0"/>
          <w:numId w:val="6"/>
        </w:numPr>
        <w:jc w:val="both"/>
        <w:rPr>
          <w:sz w:val="24"/>
          <w:szCs w:val="24"/>
        </w:rPr>
      </w:pPr>
      <w:r w:rsidRPr="00DD13E6">
        <w:rPr>
          <w:b/>
          <w:bCs/>
          <w:sz w:val="24"/>
          <w:szCs w:val="24"/>
        </w:rPr>
        <w:t>Issue:</w:t>
      </w:r>
      <w:r w:rsidRPr="00DD13E6">
        <w:rPr>
          <w:sz w:val="24"/>
          <w:szCs w:val="24"/>
        </w:rPr>
        <w:t xml:space="preserve"> There is a risk of unintended consequences if the relationship between IAS 28 and IFRS 18 is not perfectly aligned.</w:t>
      </w:r>
    </w:p>
    <w:p w14:paraId="404A5D94" w14:textId="77777777" w:rsidR="00DD13E6" w:rsidRPr="00DD13E6" w:rsidRDefault="00DD13E6" w:rsidP="00336D93">
      <w:pPr>
        <w:numPr>
          <w:ilvl w:val="0"/>
          <w:numId w:val="6"/>
        </w:numPr>
        <w:jc w:val="both"/>
        <w:rPr>
          <w:sz w:val="24"/>
          <w:szCs w:val="24"/>
        </w:rPr>
      </w:pPr>
      <w:r w:rsidRPr="00DD13E6">
        <w:rPr>
          <w:b/>
          <w:bCs/>
          <w:sz w:val="24"/>
          <w:szCs w:val="24"/>
        </w:rPr>
        <w:t>Suggestion:</w:t>
      </w:r>
      <w:r w:rsidRPr="00DD13E6">
        <w:rPr>
          <w:sz w:val="24"/>
          <w:szCs w:val="24"/>
        </w:rPr>
        <w:t xml:space="preserve"> Directly align the IAS 28 requirements with paragraph 49(a) of IFRS 18 to reduce interpretation risks.</w:t>
      </w:r>
    </w:p>
    <w:p w14:paraId="7FF4C909" w14:textId="77777777" w:rsidR="00DD13E6" w:rsidRPr="00DD13E6" w:rsidRDefault="00DD13E6" w:rsidP="00336D93">
      <w:pPr>
        <w:jc w:val="both"/>
        <w:rPr>
          <w:b/>
          <w:bCs/>
          <w:sz w:val="24"/>
          <w:szCs w:val="24"/>
        </w:rPr>
      </w:pPr>
      <w:r w:rsidRPr="00DD13E6">
        <w:rPr>
          <w:b/>
          <w:bCs/>
          <w:sz w:val="24"/>
          <w:szCs w:val="24"/>
        </w:rPr>
        <w:t>7. Transition Requirements</w:t>
      </w:r>
    </w:p>
    <w:p w14:paraId="6CD1490A" w14:textId="77777777" w:rsidR="00DD13E6" w:rsidRPr="00DD13E6" w:rsidRDefault="00DD13E6" w:rsidP="00336D93">
      <w:pPr>
        <w:numPr>
          <w:ilvl w:val="0"/>
          <w:numId w:val="7"/>
        </w:numPr>
        <w:jc w:val="both"/>
        <w:rPr>
          <w:sz w:val="24"/>
          <w:szCs w:val="24"/>
        </w:rPr>
      </w:pPr>
      <w:r w:rsidRPr="00DD13E6">
        <w:rPr>
          <w:b/>
          <w:bCs/>
          <w:sz w:val="24"/>
          <w:szCs w:val="24"/>
        </w:rPr>
        <w:t>Issue:</w:t>
      </w:r>
      <w:r w:rsidRPr="00DD13E6">
        <w:rPr>
          <w:sz w:val="24"/>
          <w:szCs w:val="24"/>
        </w:rPr>
        <w:t xml:space="preserve"> Entities might not have elected the fair value option previously because they didn't know the impact of IFRS 18.</w:t>
      </w:r>
    </w:p>
    <w:p w14:paraId="33EBFEB1" w14:textId="77777777" w:rsidR="00DD13E6" w:rsidRPr="00DD13E6" w:rsidRDefault="00DD13E6" w:rsidP="00336D93">
      <w:pPr>
        <w:numPr>
          <w:ilvl w:val="0"/>
          <w:numId w:val="7"/>
        </w:numPr>
        <w:jc w:val="both"/>
        <w:rPr>
          <w:sz w:val="24"/>
          <w:szCs w:val="24"/>
        </w:rPr>
      </w:pPr>
      <w:r w:rsidRPr="00DD13E6">
        <w:rPr>
          <w:b/>
          <w:bCs/>
          <w:sz w:val="24"/>
          <w:szCs w:val="24"/>
        </w:rPr>
        <w:t>Suggestion:</w:t>
      </w:r>
      <w:r w:rsidRPr="00DD13E6">
        <w:rPr>
          <w:sz w:val="24"/>
          <w:szCs w:val="24"/>
        </w:rPr>
        <w:t xml:space="preserve"> Permit entities to elect the fair value option specifically upon the initial application of IFRS 18.</w:t>
      </w:r>
    </w:p>
    <w:p w14:paraId="7F96A217" w14:textId="77777777" w:rsidR="00DD13E6" w:rsidRPr="00DD13E6" w:rsidRDefault="00DD13E6" w:rsidP="00336D93">
      <w:pPr>
        <w:jc w:val="both"/>
        <w:rPr>
          <w:b/>
          <w:bCs/>
          <w:sz w:val="24"/>
          <w:szCs w:val="24"/>
        </w:rPr>
      </w:pPr>
      <w:r w:rsidRPr="00DD13E6">
        <w:rPr>
          <w:b/>
          <w:bCs/>
          <w:sz w:val="24"/>
          <w:szCs w:val="24"/>
        </w:rPr>
        <w:t>8. Lack of Access to Financial Information</w:t>
      </w:r>
    </w:p>
    <w:p w14:paraId="50D54BBC" w14:textId="77777777" w:rsidR="00DD13E6" w:rsidRPr="00DD13E6" w:rsidRDefault="00DD13E6" w:rsidP="00336D93">
      <w:pPr>
        <w:numPr>
          <w:ilvl w:val="0"/>
          <w:numId w:val="8"/>
        </w:numPr>
        <w:jc w:val="both"/>
        <w:rPr>
          <w:sz w:val="24"/>
          <w:szCs w:val="24"/>
        </w:rPr>
      </w:pPr>
      <w:r w:rsidRPr="00DD13E6">
        <w:rPr>
          <w:b/>
          <w:bCs/>
          <w:sz w:val="24"/>
          <w:szCs w:val="24"/>
        </w:rPr>
        <w:t>Issue:</w:t>
      </w:r>
      <w:r w:rsidRPr="00DD13E6">
        <w:rPr>
          <w:sz w:val="24"/>
          <w:szCs w:val="24"/>
        </w:rPr>
        <w:t xml:space="preserve"> Applying the equity method is costly when entities have limited access to the financial data of their associates.</w:t>
      </w:r>
    </w:p>
    <w:p w14:paraId="21C73D0C" w14:textId="77777777" w:rsidR="00DD13E6" w:rsidRPr="00DD13E6" w:rsidRDefault="00DD13E6" w:rsidP="00336D93">
      <w:pPr>
        <w:numPr>
          <w:ilvl w:val="0"/>
          <w:numId w:val="8"/>
        </w:numPr>
        <w:jc w:val="both"/>
        <w:rPr>
          <w:sz w:val="24"/>
          <w:szCs w:val="24"/>
        </w:rPr>
      </w:pPr>
      <w:r w:rsidRPr="00DD13E6">
        <w:rPr>
          <w:b/>
          <w:bCs/>
          <w:sz w:val="24"/>
          <w:szCs w:val="24"/>
        </w:rPr>
        <w:t>Suggestion:</w:t>
      </w:r>
      <w:r w:rsidRPr="00DD13E6">
        <w:rPr>
          <w:sz w:val="24"/>
          <w:szCs w:val="24"/>
        </w:rPr>
        <w:t xml:space="preserve"> An unrestricted fair value option (as used in US GAAP) would reduce these measurement costs.</w:t>
      </w:r>
    </w:p>
    <w:p w14:paraId="737DAF5A" w14:textId="77777777" w:rsidR="00DD13E6" w:rsidRPr="00DD13E6" w:rsidRDefault="00DD13E6" w:rsidP="00336D93">
      <w:pPr>
        <w:jc w:val="both"/>
        <w:rPr>
          <w:b/>
          <w:bCs/>
          <w:sz w:val="24"/>
          <w:szCs w:val="24"/>
        </w:rPr>
      </w:pPr>
      <w:r w:rsidRPr="00DD13E6">
        <w:rPr>
          <w:b/>
          <w:bCs/>
          <w:sz w:val="24"/>
          <w:szCs w:val="24"/>
        </w:rPr>
        <w:t>9. Redundancy in Guidance</w:t>
      </w:r>
    </w:p>
    <w:p w14:paraId="37BD002A" w14:textId="77777777" w:rsidR="00DD13E6" w:rsidRPr="00DD13E6" w:rsidRDefault="00DD13E6" w:rsidP="00336D93">
      <w:pPr>
        <w:numPr>
          <w:ilvl w:val="0"/>
          <w:numId w:val="9"/>
        </w:numPr>
        <w:jc w:val="both"/>
        <w:rPr>
          <w:sz w:val="24"/>
          <w:szCs w:val="24"/>
        </w:rPr>
      </w:pPr>
      <w:r w:rsidRPr="00DD13E6">
        <w:rPr>
          <w:b/>
          <w:bCs/>
          <w:sz w:val="24"/>
          <w:szCs w:val="24"/>
        </w:rPr>
        <w:t>Issue:</w:t>
      </w:r>
      <w:r w:rsidRPr="00DD13E6">
        <w:rPr>
          <w:sz w:val="24"/>
          <w:szCs w:val="24"/>
        </w:rPr>
        <w:t xml:space="preserve"> Specific examples like "investment-linked insurance funds" may no longer be necessary with broader definitions.</w:t>
      </w:r>
    </w:p>
    <w:p w14:paraId="68BC1775" w14:textId="77777777" w:rsidR="00DD13E6" w:rsidRPr="00DD13E6" w:rsidRDefault="00DD13E6" w:rsidP="00336D93">
      <w:pPr>
        <w:numPr>
          <w:ilvl w:val="0"/>
          <w:numId w:val="9"/>
        </w:numPr>
        <w:jc w:val="both"/>
        <w:rPr>
          <w:sz w:val="24"/>
          <w:szCs w:val="24"/>
        </w:rPr>
      </w:pPr>
      <w:r w:rsidRPr="00DD13E6">
        <w:rPr>
          <w:b/>
          <w:bCs/>
          <w:sz w:val="24"/>
          <w:szCs w:val="24"/>
        </w:rPr>
        <w:t>Suggestion:</w:t>
      </w:r>
      <w:r w:rsidRPr="00DD13E6">
        <w:rPr>
          <w:sz w:val="24"/>
          <w:szCs w:val="24"/>
        </w:rPr>
        <w:t xml:space="preserve"> The IASB proposes deleting the specific example of an investment-linked insurance fund to streamline the text.</w:t>
      </w:r>
    </w:p>
    <w:p w14:paraId="12DCD94B" w14:textId="77777777" w:rsidR="00DD13E6" w:rsidRPr="00DD13E6" w:rsidRDefault="00DD13E6" w:rsidP="00336D93">
      <w:pPr>
        <w:jc w:val="both"/>
        <w:rPr>
          <w:b/>
          <w:bCs/>
          <w:sz w:val="24"/>
          <w:szCs w:val="24"/>
        </w:rPr>
      </w:pPr>
      <w:r w:rsidRPr="00DD13E6">
        <w:rPr>
          <w:b/>
          <w:bCs/>
          <w:sz w:val="24"/>
          <w:szCs w:val="24"/>
        </w:rPr>
        <w:t>10. Global Comparability</w:t>
      </w:r>
    </w:p>
    <w:p w14:paraId="3D88DA67" w14:textId="77777777" w:rsidR="00DD13E6" w:rsidRPr="00DD13E6" w:rsidRDefault="00DD13E6" w:rsidP="00336D93">
      <w:pPr>
        <w:numPr>
          <w:ilvl w:val="0"/>
          <w:numId w:val="10"/>
        </w:numPr>
        <w:jc w:val="both"/>
        <w:rPr>
          <w:sz w:val="24"/>
          <w:szCs w:val="24"/>
        </w:rPr>
      </w:pPr>
      <w:r w:rsidRPr="00DD13E6">
        <w:rPr>
          <w:b/>
          <w:bCs/>
          <w:sz w:val="24"/>
          <w:szCs w:val="24"/>
        </w:rPr>
        <w:t>Issue:</w:t>
      </w:r>
      <w:r w:rsidRPr="00DD13E6">
        <w:rPr>
          <w:sz w:val="24"/>
          <w:szCs w:val="24"/>
        </w:rPr>
        <w:t xml:space="preserve"> The current IAS 28 restriction limits comparability with entities reporting under US GAAP, which allows a broad fair value option.</w:t>
      </w:r>
    </w:p>
    <w:p w14:paraId="462F782F" w14:textId="77777777" w:rsidR="00DD13E6" w:rsidRPr="00DD13E6" w:rsidRDefault="00DD13E6" w:rsidP="00336D93">
      <w:pPr>
        <w:numPr>
          <w:ilvl w:val="0"/>
          <w:numId w:val="10"/>
        </w:numPr>
        <w:jc w:val="both"/>
        <w:rPr>
          <w:sz w:val="24"/>
          <w:szCs w:val="24"/>
        </w:rPr>
      </w:pPr>
      <w:r w:rsidRPr="00DD13E6">
        <w:rPr>
          <w:b/>
          <w:bCs/>
          <w:sz w:val="24"/>
          <w:szCs w:val="24"/>
        </w:rPr>
        <w:t>Suggestion:</w:t>
      </w:r>
      <w:r w:rsidRPr="00DD13E6">
        <w:rPr>
          <w:sz w:val="24"/>
          <w:szCs w:val="24"/>
        </w:rPr>
        <w:t xml:space="preserve"> Adopting an unrestricted approach would align IFRS Accounting Standards more closely with international peers.</w:t>
      </w:r>
    </w:p>
    <w:p w14:paraId="262289F4" w14:textId="4F6287EE" w:rsidR="00DD13E6" w:rsidRPr="00DD13E6" w:rsidRDefault="00DD13E6" w:rsidP="00336D93">
      <w:pPr>
        <w:jc w:val="both"/>
        <w:rPr>
          <w:sz w:val="24"/>
          <w:szCs w:val="24"/>
        </w:rPr>
      </w:pPr>
    </w:p>
    <w:p w14:paraId="1613182E" w14:textId="77777777" w:rsidR="00DD13E6" w:rsidRPr="00DD13E6" w:rsidRDefault="00DD13E6" w:rsidP="00336D93">
      <w:pPr>
        <w:jc w:val="both"/>
        <w:rPr>
          <w:b/>
          <w:bCs/>
          <w:sz w:val="24"/>
          <w:szCs w:val="24"/>
        </w:rPr>
      </w:pPr>
      <w:r w:rsidRPr="00DD13E6">
        <w:rPr>
          <w:b/>
          <w:bCs/>
          <w:sz w:val="24"/>
          <w:szCs w:val="24"/>
        </w:rPr>
        <w:t>Conclusion</w:t>
      </w:r>
    </w:p>
    <w:p w14:paraId="0D9F47C6" w14:textId="34DD50C1" w:rsidR="00D243F5" w:rsidRPr="00DD13E6" w:rsidRDefault="00DD13E6" w:rsidP="00336D93">
      <w:pPr>
        <w:jc w:val="both"/>
        <w:rPr>
          <w:sz w:val="24"/>
          <w:szCs w:val="24"/>
        </w:rPr>
      </w:pPr>
      <w:r w:rsidRPr="00DD13E6">
        <w:rPr>
          <w:sz w:val="24"/>
          <w:szCs w:val="24"/>
        </w:rPr>
        <w:t xml:space="preserve">The proposed amendments to IAS 28 represent a narrow-scope effort to harmonize measurement options with the new presentation framework of IFRS 18. While the majority of the IASB believes that aligning eligibility with an entity’s "main business activity" provides sufficient clarity, the dissenting views highlight a broader demand for an unrestricted fair value option. Resolving these issues is critical for the insurance industry to ensure that financial statements accurately reflect their business models. </w:t>
      </w:r>
    </w:p>
    <w:sectPr w:rsidR="00D243F5" w:rsidRPr="00DD13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048EB"/>
    <w:multiLevelType w:val="multilevel"/>
    <w:tmpl w:val="5616F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35590D"/>
    <w:multiLevelType w:val="multilevel"/>
    <w:tmpl w:val="0ABE6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175976"/>
    <w:multiLevelType w:val="multilevel"/>
    <w:tmpl w:val="AE64C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A41FCB"/>
    <w:multiLevelType w:val="multilevel"/>
    <w:tmpl w:val="B4548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9D4167"/>
    <w:multiLevelType w:val="multilevel"/>
    <w:tmpl w:val="94703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011011"/>
    <w:multiLevelType w:val="multilevel"/>
    <w:tmpl w:val="198EE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4151B3"/>
    <w:multiLevelType w:val="multilevel"/>
    <w:tmpl w:val="234ED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A52865"/>
    <w:multiLevelType w:val="multilevel"/>
    <w:tmpl w:val="E9B2D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6178C8"/>
    <w:multiLevelType w:val="multilevel"/>
    <w:tmpl w:val="D802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ED47AF"/>
    <w:multiLevelType w:val="multilevel"/>
    <w:tmpl w:val="6B0AB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5712569">
    <w:abstractNumId w:val="5"/>
  </w:num>
  <w:num w:numId="2" w16cid:durableId="1725905379">
    <w:abstractNumId w:val="1"/>
  </w:num>
  <w:num w:numId="3" w16cid:durableId="1946377316">
    <w:abstractNumId w:val="0"/>
  </w:num>
  <w:num w:numId="4" w16cid:durableId="1438022087">
    <w:abstractNumId w:val="4"/>
  </w:num>
  <w:num w:numId="5" w16cid:durableId="1446315353">
    <w:abstractNumId w:val="3"/>
  </w:num>
  <w:num w:numId="6" w16cid:durableId="506528642">
    <w:abstractNumId w:val="8"/>
  </w:num>
  <w:num w:numId="7" w16cid:durableId="1374618689">
    <w:abstractNumId w:val="6"/>
  </w:num>
  <w:num w:numId="8" w16cid:durableId="1544094344">
    <w:abstractNumId w:val="9"/>
  </w:num>
  <w:num w:numId="9" w16cid:durableId="1497573228">
    <w:abstractNumId w:val="7"/>
  </w:num>
  <w:num w:numId="10" w16cid:durableId="1481386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7BB"/>
    <w:rsid w:val="00137E30"/>
    <w:rsid w:val="00336D93"/>
    <w:rsid w:val="009007BB"/>
    <w:rsid w:val="009A3BD1"/>
    <w:rsid w:val="00C40405"/>
    <w:rsid w:val="00D243F5"/>
    <w:rsid w:val="00DD13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D195B"/>
  <w15:chartTrackingRefBased/>
  <w15:docId w15:val="{1195C702-9795-4106-BCC8-D13E3BE3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07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07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07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07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07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07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07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07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07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7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07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07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07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07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07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07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07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07BB"/>
    <w:rPr>
      <w:rFonts w:eastAsiaTheme="majorEastAsia" w:cstheme="majorBidi"/>
      <w:color w:val="272727" w:themeColor="text1" w:themeTint="D8"/>
    </w:rPr>
  </w:style>
  <w:style w:type="paragraph" w:styleId="Title">
    <w:name w:val="Title"/>
    <w:basedOn w:val="Normal"/>
    <w:next w:val="Normal"/>
    <w:link w:val="TitleChar"/>
    <w:uiPriority w:val="10"/>
    <w:qFormat/>
    <w:rsid w:val="009007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7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07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07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07BB"/>
    <w:pPr>
      <w:spacing w:before="160"/>
      <w:jc w:val="center"/>
    </w:pPr>
    <w:rPr>
      <w:i/>
      <w:iCs/>
      <w:color w:val="404040" w:themeColor="text1" w:themeTint="BF"/>
    </w:rPr>
  </w:style>
  <w:style w:type="character" w:customStyle="1" w:styleId="QuoteChar">
    <w:name w:val="Quote Char"/>
    <w:basedOn w:val="DefaultParagraphFont"/>
    <w:link w:val="Quote"/>
    <w:uiPriority w:val="29"/>
    <w:rsid w:val="009007BB"/>
    <w:rPr>
      <w:i/>
      <w:iCs/>
      <w:color w:val="404040" w:themeColor="text1" w:themeTint="BF"/>
    </w:rPr>
  </w:style>
  <w:style w:type="paragraph" w:styleId="ListParagraph">
    <w:name w:val="List Paragraph"/>
    <w:basedOn w:val="Normal"/>
    <w:uiPriority w:val="34"/>
    <w:qFormat/>
    <w:rsid w:val="009007BB"/>
    <w:pPr>
      <w:ind w:left="720"/>
      <w:contextualSpacing/>
    </w:pPr>
  </w:style>
  <w:style w:type="character" w:styleId="IntenseEmphasis">
    <w:name w:val="Intense Emphasis"/>
    <w:basedOn w:val="DefaultParagraphFont"/>
    <w:uiPriority w:val="21"/>
    <w:qFormat/>
    <w:rsid w:val="009007BB"/>
    <w:rPr>
      <w:i/>
      <w:iCs/>
      <w:color w:val="2F5496" w:themeColor="accent1" w:themeShade="BF"/>
    </w:rPr>
  </w:style>
  <w:style w:type="paragraph" w:styleId="IntenseQuote">
    <w:name w:val="Intense Quote"/>
    <w:basedOn w:val="Normal"/>
    <w:next w:val="Normal"/>
    <w:link w:val="IntenseQuoteChar"/>
    <w:uiPriority w:val="30"/>
    <w:qFormat/>
    <w:rsid w:val="009007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07BB"/>
    <w:rPr>
      <w:i/>
      <w:iCs/>
      <w:color w:val="2F5496" w:themeColor="accent1" w:themeShade="BF"/>
    </w:rPr>
  </w:style>
  <w:style w:type="character" w:styleId="IntenseReference">
    <w:name w:val="Intense Reference"/>
    <w:basedOn w:val="DefaultParagraphFont"/>
    <w:uiPriority w:val="32"/>
    <w:qFormat/>
    <w:rsid w:val="009007B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630</Words>
  <Characters>3595</Characters>
  <Application>Microsoft Office Word</Application>
  <DocSecurity>0</DocSecurity>
  <Lines>29</Lines>
  <Paragraphs>8</Paragraphs>
  <ScaleCrop>false</ScaleCrop>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vinay kumar</dc:creator>
  <cp:keywords/>
  <dc:description/>
  <cp:lastModifiedBy>vinay kumar</cp:lastModifiedBy>
  <cp:revision>3</cp:revision>
  <dcterms:created xsi:type="dcterms:W3CDTF">2026-03-07T13:21:00Z</dcterms:created>
  <dcterms:modified xsi:type="dcterms:W3CDTF">2026-03-07T13:22:00Z</dcterms:modified>
</cp:coreProperties>
</file>